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A5" w:rsidRPr="008D33A5" w:rsidRDefault="008D33A5" w:rsidP="008D33A5">
      <w:pPr>
        <w:suppressAutoHyphens/>
        <w:spacing w:after="0" w:line="100" w:lineRule="atLeast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-722630</wp:posOffset>
            </wp:positionV>
            <wp:extent cx="657860" cy="800100"/>
            <wp:effectExtent l="0" t="0" r="8890" b="0"/>
            <wp:wrapNone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МУНИЦИПАЛЬНОЕ ОБРАЗОВАНИЕ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ХАНТЫ-МАНСИЙСКИЙ РАЙОН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>Ханты-Мансийский автономный округ – Югра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>АДМИНИСТРАЦИЯ ХАНТЫ-МАНСИЙСКОГО РАЙОНА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proofErr w:type="gramStart"/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>П</w:t>
      </w:r>
      <w:proofErr w:type="gramEnd"/>
      <w:r w:rsidRPr="008D33A5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 w:rsidRPr="008D33A5">
        <w:rPr>
          <w:rFonts w:ascii="Times New Roman" w:eastAsia="Calibri" w:hAnsi="Times New Roman"/>
          <w:color w:val="000000"/>
          <w:sz w:val="28"/>
          <w:szCs w:val="28"/>
        </w:rPr>
        <w:t xml:space="preserve">от </w:t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8D33A5">
        <w:rPr>
          <w:rFonts w:ascii="Times New Roman" w:eastAsia="Calibri" w:hAnsi="Times New Roman"/>
          <w:color w:val="000000"/>
          <w:sz w:val="28"/>
          <w:szCs w:val="28"/>
        </w:rPr>
        <w:tab/>
        <w:t xml:space="preserve"> № </w:t>
      </w:r>
    </w:p>
    <w:p w:rsidR="008D33A5" w:rsidRPr="008D33A5" w:rsidRDefault="008D33A5" w:rsidP="008D33A5">
      <w:pPr>
        <w:pBdr>
          <w:top w:val="nil"/>
          <w:left w:val="nil"/>
          <w:bottom w:val="nil"/>
          <w:right w:val="nil"/>
        </w:pBdr>
        <w:suppressAutoHyphens/>
        <w:spacing w:after="0" w:line="100" w:lineRule="atLeas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8D33A5">
        <w:rPr>
          <w:rFonts w:ascii="Times New Roman" w:eastAsia="Calibri" w:hAnsi="Times New Roman"/>
          <w:i/>
          <w:color w:val="000000"/>
          <w:sz w:val="24"/>
          <w:szCs w:val="24"/>
        </w:rPr>
        <w:t>г. Ханты-Мансийск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района от 10 ноября 2017 года 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№ 327 «Об утверждении </w:t>
      </w:r>
      <w:proofErr w:type="gramStart"/>
      <w:r w:rsidRPr="008D33A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D33A5">
        <w:rPr>
          <w:rFonts w:ascii="Times New Roman" w:hAnsi="Times New Roman"/>
          <w:sz w:val="28"/>
          <w:szCs w:val="28"/>
        </w:rPr>
        <w:t xml:space="preserve"> 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программы Ханты-Мансийского района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«Развитие гражданского общества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</w:t>
      </w:r>
      <w:r w:rsidRPr="008D33A5">
        <w:rPr>
          <w:rFonts w:ascii="Times New Roman" w:hAnsi="Times New Roman"/>
          <w:sz w:val="28"/>
          <w:szCs w:val="28"/>
        </w:rPr>
        <w:br/>
        <w:t>на 2018 – 2020 годы»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3A5" w:rsidRPr="008D33A5" w:rsidRDefault="008D33A5" w:rsidP="008D33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 9 августа 2013 года № 199 «О программах Ханты-Мансийского района»:</w:t>
      </w: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D33A5" w:rsidRPr="008D33A5" w:rsidRDefault="008D33A5" w:rsidP="008D3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1.</w:t>
      </w:r>
      <w:r w:rsidRPr="008D33A5">
        <w:rPr>
          <w:rFonts w:ascii="Times New Roman" w:hAnsi="Times New Roman"/>
          <w:sz w:val="28"/>
          <w:szCs w:val="28"/>
        </w:rPr>
        <w:tab/>
        <w:t>Внести в постановление администрации Ханты-Мансийского района от 10 ноября 2017 года № 327 «Об утверждении муниципальной программы Ханты-Мансийского района «Развитие гражданского общества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 на 2018 – 2020 годы»  изменения, изложив приложение к постановлению в новой редакции: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F2A23" w:rsidRDefault="00EF2A23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 «Приложение 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D33A5" w:rsidRPr="008D33A5" w:rsidRDefault="008D33A5" w:rsidP="008D33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от 10.11.2017 № 327</w:t>
      </w:r>
    </w:p>
    <w:p w:rsidR="00E77B38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D0193B" w:rsidRDefault="005B43D6" w:rsidP="005B43D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0193B">
        <w:rPr>
          <w:rFonts w:ascii="Times New Roman" w:hAnsi="Times New Roman"/>
          <w:sz w:val="28"/>
          <w:szCs w:val="28"/>
        </w:rPr>
        <w:lastRenderedPageBreak/>
        <w:t>Паспорт</w:t>
      </w:r>
      <w:r>
        <w:rPr>
          <w:rFonts w:ascii="Times New Roman" w:hAnsi="Times New Roman"/>
          <w:sz w:val="28"/>
          <w:szCs w:val="28"/>
        </w:rPr>
        <w:br/>
      </w:r>
      <w:r w:rsidRPr="00D0193B">
        <w:rPr>
          <w:rFonts w:ascii="Times New Roman" w:hAnsi="Times New Roman"/>
          <w:sz w:val="28"/>
          <w:szCs w:val="28"/>
        </w:rPr>
        <w:t>муниципальной программы Ханты-Мансийского района</w:t>
      </w:r>
    </w:p>
    <w:p w:rsidR="005B43D6" w:rsidRPr="005841C1" w:rsidRDefault="005B43D6" w:rsidP="005B43D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«Развитие гражданского 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2018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(далее – муниципальная программа) 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Pr="005E0F86">
              <w:rPr>
                <w:rFonts w:ascii="Times New Roman" w:hAnsi="Times New Roman"/>
                <w:sz w:val="28"/>
                <w:szCs w:val="28"/>
              </w:rPr>
              <w:t>от 10.11.2017 № 327 «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Ханты-Мансийского района «Развитие гражданского общества Ханты-Мансийского района на 2018 – 2020 годы» 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Ханты-Мансийского района «Комитет по культуре, спорту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  <w:t xml:space="preserve">и социальной политике» (далее – МКУ ХМР «Комитет по </w:t>
            </w:r>
            <w:proofErr w:type="spellStart"/>
            <w:r w:rsidRPr="00DA51B9">
              <w:rPr>
                <w:rFonts w:ascii="Times New Roman" w:hAnsi="Times New Roman"/>
                <w:sz w:val="28"/>
                <w:szCs w:val="28"/>
              </w:rPr>
              <w:t>КСиСП</w:t>
            </w:r>
            <w:proofErr w:type="spellEnd"/>
            <w:r w:rsidRPr="00DA51B9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развития гражданского общества и социальной активности граждан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DA51B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A5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51B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DA51B9">
              <w:rPr>
                <w:rFonts w:ascii="Times New Roman" w:hAnsi="Times New Roman"/>
                <w:sz w:val="28"/>
                <w:szCs w:val="28"/>
              </w:rPr>
              <w:t xml:space="preserve"> районе, поддержки социально ориентированных некоммерческих организаций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ориентированных некоммерческих организаций</w:t>
            </w:r>
          </w:p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2. Распространение лучших практик социально ориентированных некоммерческих организаций Ханты-Мансийского района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1. Оказание финансовой поддержки социально ориентированным некоммерческим организациям путем предоставления на конкурсной основе субсидий</w:t>
            </w:r>
          </w:p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ориентированным некоммерческим организациям</w:t>
            </w:r>
          </w:p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3. 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Ханты-Мансийского автономного округа – Югры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социально значимых проектов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>социально ориентированных некоммерческих организаций, реализован</w:t>
            </w:r>
            <w:r>
              <w:rPr>
                <w:rFonts w:ascii="Times New Roman" w:hAnsi="Times New Roman"/>
                <w:sz w:val="28"/>
                <w:szCs w:val="28"/>
              </w:rPr>
              <w:t>ных за счет субсидий из бюджета Ханты-Мансийского района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(увеличение с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32 единиц до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граждан, охваченных проектами социально ориентированных некоммерческих организаций,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держанных в рамках Программы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(увеличение с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>34 до 37%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B43D6" w:rsidRPr="00DA51B9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публикаций в СМИ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  <w:t xml:space="preserve">о деятельности институтов гражданского общества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(увеличение с 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48 до 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Pr="00DA51B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5B43D6" w:rsidRPr="00DA51B9" w:rsidRDefault="005B43D6" w:rsidP="0079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A51B9">
              <w:rPr>
                <w:rFonts w:ascii="Times New Roman" w:hAnsi="Times New Roman"/>
                <w:sz w:val="28"/>
                <w:szCs w:val="28"/>
                <w:lang w:eastAsia="en-US"/>
              </w:rPr>
              <w:t>2018 – 2020 годы</w:t>
            </w:r>
          </w:p>
        </w:tc>
      </w:tr>
      <w:tr w:rsidR="005B43D6" w:rsidRPr="00DA51B9" w:rsidTr="0079637A">
        <w:tc>
          <w:tcPr>
            <w:tcW w:w="2280" w:type="dxa"/>
          </w:tcPr>
          <w:p w:rsidR="005B43D6" w:rsidRPr="00DA51B9" w:rsidRDefault="005B43D6" w:rsidP="0079637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5B43D6" w:rsidRPr="00DA51B9" w:rsidRDefault="005B43D6" w:rsidP="00796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5B43D6" w:rsidRPr="00305AD2" w:rsidRDefault="005B43D6" w:rsidP="0079637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общий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ъем финансирования Программы (средства бюджета Ханты-Мансийского района)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05AD2">
              <w:rPr>
                <w:rFonts w:ascii="Times New Roman" w:hAnsi="Times New Roman"/>
                <w:sz w:val="28"/>
                <w:szCs w:val="28"/>
              </w:rPr>
              <w:t>3350,00 тыс. рублей:</w:t>
            </w:r>
          </w:p>
          <w:p w:rsidR="005B43D6" w:rsidRPr="00305AD2" w:rsidRDefault="005B43D6" w:rsidP="0079637A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AD2">
              <w:rPr>
                <w:rFonts w:ascii="Times New Roman" w:hAnsi="Times New Roman"/>
                <w:sz w:val="28"/>
                <w:szCs w:val="28"/>
              </w:rPr>
              <w:t>2018 год – 1 150,00 тыс. рублей;</w:t>
            </w:r>
          </w:p>
          <w:p w:rsidR="005B43D6" w:rsidRPr="00DA51B9" w:rsidRDefault="005B43D6" w:rsidP="0079637A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>2019 год – 1 100,00 тыс. рублей;</w:t>
            </w:r>
          </w:p>
          <w:p w:rsidR="005B43D6" w:rsidRPr="00DA51B9" w:rsidRDefault="005B43D6" w:rsidP="0079637A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1B9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1 100,00 тыс. рублей</w:t>
            </w:r>
          </w:p>
        </w:tc>
      </w:tr>
    </w:tbl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2. Доля граждан, охваченных проектами социально ориентированных некоммерческих организаций, поддержанных в рамках Программы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(увеличение с 34 до 37%)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3. Количество публикаций в СМИ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о деятельности институтов гражданского общества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(увеличение с 48 до 54 единиц)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Сроки реализации муниципальной программы</w:t>
      </w:r>
      <w:r w:rsidRPr="005B43D6">
        <w:rPr>
          <w:rFonts w:ascii="Times New Roman" w:hAnsi="Times New Roman"/>
          <w:sz w:val="28"/>
          <w:szCs w:val="28"/>
        </w:rPr>
        <w:tab/>
        <w:t>2018 – 2020 годы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Финансовое обеспечение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муниципальной программы</w:t>
      </w:r>
      <w:r w:rsidRPr="005B43D6">
        <w:rPr>
          <w:rFonts w:ascii="Times New Roman" w:hAnsi="Times New Roman"/>
          <w:sz w:val="28"/>
          <w:szCs w:val="28"/>
        </w:rPr>
        <w:tab/>
        <w:t xml:space="preserve">общий объем финансирования Программы (средства бюджета Ханты-Мансийского района) –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3350,00 тыс. рублей: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2018 год – 1 150,00 тыс. рублей;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2019 год – 1 100,00 тыс. рублей;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2020 год – 1 100,00 тыс. рублей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развития институтов гражданского общества Ханты-Мансийского района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Развитие гражданского общества направлено на создание благоприятных условий для взаимодействия органов местного самоуправления Ханты-Мансийского района и общественности с целью обеспечения достойных условий жизни населения, основанных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>на информированности, доверии и социальной ориентации.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На сегодняшний день обеспечивается участие представителей общественности во всех сферах социально-экономического развития муниципального образования. Реализуется система мероприятий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по оказанию финансовой, информационной, консультационной поддержки социально ориентированным некоммерческим организациям Ханты-Мансийского района. Созданы общественные советы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Указ Президента Российской Федерации от 07.05.2012 № 597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 (пункт «л») обязывает предусмотреть, начиная с 2013 года, меры, направленные на увеличение поддержки социально ориентированных некоммерческих организаций.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По данным Управления Министерства юстиции Российской Федерации по Ханты-Мансийскому автономному округу – Югре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2013 году на территории Ханты-Мансийского района зарегистрировано 30 некоммерческих организаций различных организационно-правовых форм, из них фактически осуществляющих деятельность – около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50 процентов.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период с 2014 по 2017 годы администрацией Ханты-Мансийского района  наработан опыт в сфере поддержки социально ориентированных некоммерческих организаций. Общественные организации, осуществляющие деятельность на территории района, получили поддержку в виде субсидии из бюджета Ханты-Мансийского района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сумме 4 млн. 849 тыс. 300 рублей.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Ряд социально ориентированных некоммерческих организаций Ханты-Мансийского района зарекомендовали себя как </w:t>
      </w:r>
      <w:proofErr w:type="gramStart"/>
      <w:r w:rsidRPr="005B43D6">
        <w:rPr>
          <w:rFonts w:ascii="Times New Roman" w:hAnsi="Times New Roman"/>
          <w:sz w:val="28"/>
          <w:szCs w:val="28"/>
        </w:rPr>
        <w:t>активные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и социально ответственные участники гражданского общества: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>Ханты-Мансийская районная общественная организация ветеранов (пенсионеров) войны, труда, вооруженных сил и правоохранительных органов;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Ханты-Мансийская районная организация общероссийской общественной организации «Всероссийское общество инвалидов»;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местная религиозная организация православный Приход храма Вознесения Господня п. Горноправдинск;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местная мусульманская религиозная организация </w:t>
      </w:r>
      <w:proofErr w:type="spellStart"/>
      <w:r w:rsidRPr="005B43D6">
        <w:rPr>
          <w:rFonts w:ascii="Times New Roman" w:hAnsi="Times New Roman"/>
          <w:sz w:val="28"/>
          <w:szCs w:val="28"/>
        </w:rPr>
        <w:t>Махалля</w:t>
      </w:r>
      <w:proofErr w:type="spellEnd"/>
      <w:r w:rsidRPr="005B43D6">
        <w:rPr>
          <w:rFonts w:ascii="Times New Roman" w:hAnsi="Times New Roman"/>
          <w:sz w:val="28"/>
          <w:szCs w:val="28"/>
        </w:rPr>
        <w:t xml:space="preserve"> сельского поселения Горноправдинск;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Молодежный общественный фонд «Возрождение поселка»;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Волонтерское молодежное объединение Ханты-Мансийского района «Шаг навстречу – шаг вперед!»;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Детско-молодежная местная  общественная организация Ханты-Мансийского района «ПОКОЛЕНИЕ+»;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Благотворительный фонд содействия духовному развитию «Ветвь добра».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3D6">
        <w:rPr>
          <w:rFonts w:ascii="Times New Roman" w:hAnsi="Times New Roman"/>
          <w:sz w:val="28"/>
          <w:szCs w:val="28"/>
        </w:rPr>
        <w:t>В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3D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районе насчитывается 500 граждан, на постоянной основе занимающихся добровольческой деятельностью, что составляет 2,5% от численности населения Ханты-Мансийского района; 279 волонтеров официально оформили свою деятельность, получив волонтерскую книжку.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2014 году добровольцы Ханты-Мансийского района объединились в волонтерское объединение «Шаг навстречу – шаг вперед!» для оказания добровольческой помощи в таких направлениях как культурное, социальное, спортивное, экологическое, событийное </w:t>
      </w:r>
      <w:proofErr w:type="spellStart"/>
      <w:r w:rsidRPr="005B43D6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5B43D6">
        <w:rPr>
          <w:rFonts w:ascii="Times New Roman" w:hAnsi="Times New Roman"/>
          <w:sz w:val="28"/>
          <w:szCs w:val="28"/>
        </w:rPr>
        <w:t xml:space="preserve"> и «Волонтеры Победы».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3D6">
        <w:rPr>
          <w:rFonts w:ascii="Times New Roman" w:hAnsi="Times New Roman"/>
          <w:sz w:val="28"/>
          <w:szCs w:val="28"/>
        </w:rPr>
        <w:t>МКУ Ханты-Мансийского района «Комитет по культуре, спорту и социальной политике» в целях поощрения добровольцев ежегодно организует заочный конкурс волонтерской добровольческой деятельности среди участников волонтерского объединения Ханты-Мансийского района «Шаг навстречу – шаг вперед!», раз в два года вручается премия Главы Ханты-Мансийского района талантливой молодежи в номинации «За успехи в добровольческой и волонтерской деятельности».</w:t>
      </w:r>
      <w:proofErr w:type="gramEnd"/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«Гражданская активность», где регулярно освещается деятельность некоммерческих организаций, размещается информация о проводимых конкурсах. Аналогичная информация также размещается в газете «Наш район».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Муниципальная программа «Развитие гражданского общества Ханты-Мансийского района на 2018 – 2020 годы» призвана сохранить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и закрепить достигнутые показатели.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>на совершенствование системы взаимодействия органов местного самоуправления и некоммерческих общественных организаций, развитие «общественной инициативы»,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2.1. Развитие материально-технической базы.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Исходя из полномочий, возложенных на МКУ ХМР «Комитет по </w:t>
      </w:r>
      <w:proofErr w:type="spellStart"/>
      <w:r w:rsidRPr="005B43D6">
        <w:rPr>
          <w:rFonts w:ascii="Times New Roman" w:hAnsi="Times New Roman"/>
          <w:sz w:val="28"/>
          <w:szCs w:val="28"/>
        </w:rPr>
        <w:t>КСиСП</w:t>
      </w:r>
      <w:proofErr w:type="spellEnd"/>
      <w:r w:rsidRPr="005B43D6">
        <w:rPr>
          <w:rFonts w:ascii="Times New Roman" w:hAnsi="Times New Roman"/>
          <w:sz w:val="28"/>
          <w:szCs w:val="28"/>
        </w:rPr>
        <w:t>», расходы, направленные на осуществление бюджетных инвестиций в объекты капитального строительства муниципальной собственности, в муниципальной программе отсутствуют.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Мероприятия муниципальной программы способствуют привлечению некоммерческих организаций к реализации проектов.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целях повышения качества и доступности услуг в социальной сфере через расширение участия некоммерческих организаций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предоставлении социальных услуг гражданам распоряжением администрации Ханты-Мансийского района от 14.09.2016 № 909-р утвержден план мероприятий («дорожная карта») по поддержке доступа немуниципальных организаций (коммерческих, некоммерческих)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3D6">
        <w:rPr>
          <w:rFonts w:ascii="Times New Roman" w:hAnsi="Times New Roman"/>
          <w:sz w:val="28"/>
          <w:szCs w:val="28"/>
        </w:rPr>
        <w:t xml:space="preserve">к предоставлению услуг в социальной сфере на период 2016 – 2020 годы (далее – «дорожная карта» по поддержке доступа немуниципальных организаций (коммерческих, некоммерческих) к предоставлению услуг </w:t>
      </w:r>
      <w:proofErr w:type="gramEnd"/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социальной сфере).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Муниципальной программой предусмотрена поддержка социально ориентированных некоммерческих организаций в виде субсидий.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формировании благоприятной деловой среды района особую роль играют институты гражданского общества, содействуя повышению открытости работы органов местного самоуправления, развитию конкуренции и негосударственного сектора экономики, вовлечению экспертного и профессионального сообществ в выработку и реализацию решений в сфере инвестиционной политики, обеспечивая доступ граждан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и указанных сообществ к информации об инвестиционной и инновационной деятельности.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Муниципальной программой не предусмотрена реализация инвестиционных проектов.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2.4. Развитие конкуренции </w:t>
      </w:r>
      <w:proofErr w:type="gramStart"/>
      <w:r w:rsidRPr="005B43D6">
        <w:rPr>
          <w:rFonts w:ascii="Times New Roman" w:hAnsi="Times New Roman"/>
          <w:sz w:val="28"/>
          <w:szCs w:val="28"/>
        </w:rPr>
        <w:t>в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3D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районе.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 xml:space="preserve">Мероприятия муниципальной программы предусматривают проведение исследований общественного мнения по актуальным вопросам социально-экономического развития района, в том числе связанным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 развитием конкуренции в отраслях экономики.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2.5. Реализация проектов и портфелей проектов.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Мероприятия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 – Югры.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Раздел 3. Цели, задачи и показатели их достижения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3D6">
        <w:rPr>
          <w:rFonts w:ascii="Times New Roman" w:hAnsi="Times New Roman"/>
          <w:sz w:val="28"/>
          <w:szCs w:val="28"/>
        </w:rPr>
        <w:t>Цель, задачи и показатели их достижения определены с учетом приоритетов государственной социальной политики и государственной национальной политики,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 и Ханты-Мансийского района:</w:t>
      </w:r>
      <w:proofErr w:type="gramEnd"/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Указ Президента Российской Федерации от 07.05.2012 № 597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автономного округа – Югры до 2030 года, утвержденная распоряжением Правительства Ханты-Мансийского автономного округа – Югры                          от 22.03.2013 № 101-рп;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государственная программа Ханты-Мансийского автономного округа – Югры «Развитие гражданского общества Ханты-Мансийского автономного округа – Югры на 2016–2020 годы», утвержденная постановлением Правительства Ханты-Мансийского автономного округа – Югры от 09.10.2013 № 412-п;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государственная программа Ханты-Мансийского автономного округа – Югры «Социальная поддержка жителей Ханты-Мансийского автономного округа – Югры на 2018 – 2025 годы и на период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до 2030 года», утвержденная постановлением Правительства Ханты-Мансийского автономного округа – Югры от 09.10.2013 № 421-п;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от 17.12.2014 № 343.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гражданского общества и социальной активности граждан                                       </w:t>
      </w:r>
      <w:proofErr w:type="gramStart"/>
      <w:r w:rsidRPr="005B43D6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3D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районе, поддержки социально ориентированных некоммерческих организаций.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Целевые показатели муниципальной программы: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 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Источником информации является МКУ ХМР «Комитет по </w:t>
      </w:r>
      <w:proofErr w:type="spellStart"/>
      <w:r w:rsidRPr="005B43D6">
        <w:rPr>
          <w:rFonts w:ascii="Times New Roman" w:hAnsi="Times New Roman"/>
          <w:sz w:val="28"/>
          <w:szCs w:val="28"/>
        </w:rPr>
        <w:t>КСиСП</w:t>
      </w:r>
      <w:proofErr w:type="spellEnd"/>
      <w:r w:rsidRPr="005B43D6">
        <w:rPr>
          <w:rFonts w:ascii="Times New Roman" w:hAnsi="Times New Roman"/>
          <w:sz w:val="28"/>
          <w:szCs w:val="28"/>
        </w:rPr>
        <w:t>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 Доля граждан, охваченных проектами социально ориентированных некоммерческих организаций, поддержанных в рамках Программы.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субсидии, в отчетах по использованию субсидий.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3D6">
        <w:rPr>
          <w:rFonts w:ascii="Times New Roman" w:hAnsi="Times New Roman"/>
          <w:sz w:val="28"/>
          <w:szCs w:val="28"/>
        </w:rPr>
        <w:t>Ув</w:t>
      </w:r>
      <w:proofErr w:type="spellEnd"/>
      <w:r w:rsidRPr="005B43D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B43D6">
        <w:rPr>
          <w:rFonts w:ascii="Times New Roman" w:hAnsi="Times New Roman"/>
          <w:sz w:val="28"/>
          <w:szCs w:val="28"/>
        </w:rPr>
        <w:t>Чг</w:t>
      </w:r>
      <w:proofErr w:type="spellEnd"/>
      <w:r w:rsidRPr="005B43D6">
        <w:rPr>
          <w:rFonts w:ascii="Times New Roman" w:hAnsi="Times New Roman"/>
          <w:sz w:val="28"/>
          <w:szCs w:val="28"/>
        </w:rPr>
        <w:t>/</w:t>
      </w:r>
      <w:proofErr w:type="spellStart"/>
      <w:r w:rsidRPr="005B43D6">
        <w:rPr>
          <w:rFonts w:ascii="Times New Roman" w:hAnsi="Times New Roman"/>
          <w:sz w:val="28"/>
          <w:szCs w:val="28"/>
        </w:rPr>
        <w:t>Чнас</w:t>
      </w:r>
      <w:proofErr w:type="spellEnd"/>
      <w:r w:rsidRPr="005B43D6">
        <w:rPr>
          <w:rFonts w:ascii="Times New Roman" w:hAnsi="Times New Roman"/>
          <w:sz w:val="28"/>
          <w:szCs w:val="28"/>
        </w:rPr>
        <w:t>*100%, где: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3D6">
        <w:rPr>
          <w:rFonts w:ascii="Times New Roman" w:hAnsi="Times New Roman"/>
          <w:sz w:val="28"/>
          <w:szCs w:val="28"/>
        </w:rPr>
        <w:t>Чг</w:t>
      </w:r>
      <w:proofErr w:type="spellEnd"/>
      <w:r w:rsidRPr="005B43D6">
        <w:rPr>
          <w:rFonts w:ascii="Times New Roman" w:hAnsi="Times New Roman"/>
          <w:sz w:val="28"/>
          <w:szCs w:val="28"/>
        </w:rPr>
        <w:t xml:space="preserve"> – число граждан, охваченных проектами социально ориентированных некоммерческих организаций, поддержанных в рамках Программы;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43D6">
        <w:rPr>
          <w:rFonts w:ascii="Times New Roman" w:hAnsi="Times New Roman"/>
          <w:sz w:val="28"/>
          <w:szCs w:val="28"/>
        </w:rPr>
        <w:t>Чнас</w:t>
      </w:r>
      <w:proofErr w:type="spellEnd"/>
      <w:r w:rsidRPr="005B43D6">
        <w:rPr>
          <w:rFonts w:ascii="Times New Roman" w:hAnsi="Times New Roman"/>
          <w:sz w:val="28"/>
          <w:szCs w:val="28"/>
        </w:rPr>
        <w:t xml:space="preserve"> – общая численность населения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3. 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организаций.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Показатель рассчитывается исходя из количества фактически размещенных сообщений на официальном сайте администрации                   Ханты-Мансийского района в сети Интернет и опубликованных материалов в газете «Наш район». Источником информации является МКУ ХМР «Комитет по </w:t>
      </w:r>
      <w:proofErr w:type="spellStart"/>
      <w:r w:rsidRPr="005B43D6">
        <w:rPr>
          <w:rFonts w:ascii="Times New Roman" w:hAnsi="Times New Roman"/>
          <w:sz w:val="28"/>
          <w:szCs w:val="28"/>
        </w:rPr>
        <w:t>КСиСП</w:t>
      </w:r>
      <w:proofErr w:type="spellEnd"/>
      <w:r w:rsidRPr="005B43D6">
        <w:rPr>
          <w:rFonts w:ascii="Times New Roman" w:hAnsi="Times New Roman"/>
          <w:sz w:val="28"/>
          <w:szCs w:val="28"/>
        </w:rPr>
        <w:t>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Целевые показатели муниципальной программы отражены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таблице 1.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Раздел 4. Характеристика основных мероприятий Программы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 (таблица 2).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>1. Оказание финансовой поддержки социально ориентированным некоммерческим организациям путем предоставления на конкурсной основе субсидий.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 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 некоммерческим организациям осуществляется по следующим направлениям: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1.1. Субсидии на финансовое обеспечение проектов социально ориентированных некоммерческих организаций, направленных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на повышение качества жизни людей пожилого возраста.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1.2. Субсидии на финансовое обеспечение проектов социально ориентированных некоммерческих организаций, направленных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на социальную адаптацию инвалидов и их семей.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1.3. 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1.4. 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1.5. Субсидии на финансовое обеспечение проектов в сфере деятельности по изучению общественного мнения.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1.6. Субсидия на финансовое обеспечение проектов в области содействия добровольчеству и благотворительности.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2. Оказание информационной поддержки социально ориентированным некоммерческим организациям.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Данное мероприятие реализуется путем популяризации деятельности социально ориентированных некоммерческих организаций в средствах массовой информации и обеспечения работы раздела «Гражданская активность» на официальном сайте администрации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3. 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lastRenderedPageBreak/>
        <w:t>Мероприятие планируется реализовать путем обеспечения участия социально ориентированных некоммерческих организаций: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ориентированных некоммерческих организаций;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различных мероприятиях регионального уровня (конференциях, семинарах, круглых столах);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Раздел 5. Механизм реализации муниципальной программы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финансирование мероприятий и информирование общественности о ходе и результатах ее реализации.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МКУ ХМР «Комитет по </w:t>
      </w:r>
      <w:proofErr w:type="spellStart"/>
      <w:r w:rsidRPr="005B43D6">
        <w:rPr>
          <w:rFonts w:ascii="Times New Roman" w:hAnsi="Times New Roman"/>
          <w:sz w:val="28"/>
          <w:szCs w:val="28"/>
        </w:rPr>
        <w:t>КСиСП</w:t>
      </w:r>
      <w:proofErr w:type="spellEnd"/>
      <w:r w:rsidRPr="005B43D6">
        <w:rPr>
          <w:rFonts w:ascii="Times New Roman" w:hAnsi="Times New Roman"/>
          <w:sz w:val="28"/>
          <w:szCs w:val="28"/>
        </w:rPr>
        <w:t>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в бюджете района на реализацию Программы на очередной финансовый год, осуществляет МКУ ХМР «Комитет по </w:t>
      </w:r>
      <w:proofErr w:type="spellStart"/>
      <w:r w:rsidRPr="005B43D6">
        <w:rPr>
          <w:rFonts w:ascii="Times New Roman" w:hAnsi="Times New Roman"/>
          <w:sz w:val="28"/>
          <w:szCs w:val="28"/>
        </w:rPr>
        <w:t>КСиСП</w:t>
      </w:r>
      <w:proofErr w:type="spellEnd"/>
      <w:r w:rsidRPr="005B43D6">
        <w:rPr>
          <w:rFonts w:ascii="Times New Roman" w:hAnsi="Times New Roman"/>
          <w:sz w:val="28"/>
          <w:szCs w:val="28"/>
        </w:rPr>
        <w:t>».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Исполнитель муниципальной программы обеспечивает,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при необходимости, корректировку мероприятий, а также осуществляет мониторинг и оценку результативности мероприятий.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Механизм реализации муниципальной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соответствии с мониторингом фактически достигнутых целевых показателей реализации муниципальной программы, а также информирование общественности о ходе и результатах реализации муниципальной программы.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организация реализации мероприятий Программы, принятие решения о внесении в нее изменений в соответствии с установленными </w:t>
      </w:r>
      <w:r w:rsidRPr="005B43D6">
        <w:rPr>
          <w:rFonts w:ascii="Times New Roman" w:hAnsi="Times New Roman"/>
          <w:sz w:val="28"/>
          <w:szCs w:val="28"/>
        </w:rPr>
        <w:lastRenderedPageBreak/>
        <w:t xml:space="preserve">требованиями и несение ответственности за достижение целевых показателей муниципальной программы, а также конечных результатов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ее реализации;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мониторинг  выполнения  целевых   показателей,  сбор  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 процессе реализации Программы может проявиться ряд рисков: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на выполнение муниципальной программы, что повлечет исходя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 xml:space="preserve">из новых бюджетных параметров пересмотр ее задач с точки зрения 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или их сокращения, или снижения ожидаемых эффектов от их решения;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43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43D6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района по социальным вопросам.</w:t>
      </w:r>
    </w:p>
    <w:p w:rsidR="005B43D6" w:rsidRP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5B43D6" w:rsidRDefault="005B43D6" w:rsidP="005B43D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B43D6">
        <w:rPr>
          <w:rFonts w:ascii="Times New Roman" w:hAnsi="Times New Roman"/>
          <w:sz w:val="28"/>
          <w:szCs w:val="28"/>
        </w:rPr>
        <w:t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5B43D6" w:rsidRPr="00012F23" w:rsidRDefault="005B43D6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5B43D6" w:rsidRPr="00012F23" w:rsidSect="0074752B">
          <w:headerReference w:type="default" r:id="rId10"/>
          <w:headerReference w:type="first" r:id="rId11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5B43D6" w:rsidRDefault="005B43D6" w:rsidP="0074752B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E3E05" w:rsidRDefault="00E77B38" w:rsidP="008E3E05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Таблица 1</w:t>
      </w:r>
    </w:p>
    <w:p w:rsidR="008E3E05" w:rsidRDefault="008E3E05" w:rsidP="008E3E0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77B38" w:rsidRDefault="00E77B38" w:rsidP="008E3E05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38B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7038B9" w:rsidRPr="007038B9" w:rsidRDefault="007038B9" w:rsidP="0074752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546"/>
        <w:gridCol w:w="2557"/>
        <w:gridCol w:w="753"/>
        <w:gridCol w:w="753"/>
        <w:gridCol w:w="753"/>
        <w:gridCol w:w="2235"/>
      </w:tblGrid>
      <w:tr w:rsidR="00012F23" w:rsidRPr="00211AA6" w:rsidTr="008E3E05">
        <w:trPr>
          <w:trHeight w:val="60"/>
        </w:trPr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№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211AA6">
              <w:rPr>
                <w:rFonts w:ascii="Times New Roman" w:hAnsi="Times New Roman"/>
              </w:rPr>
              <w:t>п</w:t>
            </w:r>
            <w:proofErr w:type="gramEnd"/>
            <w:r w:rsidRPr="00211AA6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Базовый показатель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 начало реализации муниципальной программы</w:t>
            </w:r>
          </w:p>
        </w:tc>
        <w:tc>
          <w:tcPr>
            <w:tcW w:w="2259" w:type="dxa"/>
            <w:gridSpan w:val="3"/>
            <w:shd w:val="clear" w:color="auto" w:fill="auto"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Целевое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значение показателя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на момент</w:t>
            </w:r>
          </w:p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окончания действия муниципальной программы</w:t>
            </w:r>
          </w:p>
        </w:tc>
      </w:tr>
      <w:tr w:rsidR="00012F23" w:rsidRPr="00211AA6" w:rsidTr="00032F60">
        <w:trPr>
          <w:trHeight w:val="372"/>
        </w:trPr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2018 год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2019 год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2020 год</w:t>
            </w:r>
          </w:p>
        </w:tc>
        <w:tc>
          <w:tcPr>
            <w:tcW w:w="2235" w:type="dxa"/>
            <w:vMerge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2F23" w:rsidRPr="00211AA6" w:rsidTr="00032F60">
        <w:trPr>
          <w:trHeight w:val="152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DC6192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6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DC6192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7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 (</w:t>
            </w:r>
            <w:r w:rsidRPr="00211AA6">
              <w:rPr>
                <w:rStyle w:val="a5"/>
                <w:rFonts w:ascii="Times New Roman" w:hAnsi="Times New Roman"/>
              </w:rPr>
              <w:t>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3049CB" w:rsidP="0074752B">
            <w:pPr>
              <w:pStyle w:val="a4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42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Доля граждан, охваченных проектами социально ориентированных некоммерческих организаций, поддержанных в рамках программы</w:t>
            </w:r>
            <w:proofErr w:type="gramStart"/>
            <w:r w:rsidRPr="00211A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37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37</w:t>
            </w:r>
          </w:p>
        </w:tc>
      </w:tr>
      <w:tr w:rsidR="00012F23" w:rsidRPr="00211AA6" w:rsidTr="00032F60">
        <w:trPr>
          <w:trHeight w:val="240"/>
        </w:trPr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012F23" w:rsidP="0074752B">
            <w:pPr>
              <w:pStyle w:val="a4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2F23" w:rsidRPr="00211AA6" w:rsidRDefault="003049CB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2</w:t>
            </w:r>
          </w:p>
        </w:tc>
        <w:tc>
          <w:tcPr>
            <w:tcW w:w="2235" w:type="dxa"/>
            <w:shd w:val="clear" w:color="auto" w:fill="auto"/>
            <w:hideMark/>
          </w:tcPr>
          <w:p w:rsidR="00012F23" w:rsidRPr="00211AA6" w:rsidRDefault="00012F23" w:rsidP="007475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1AA6">
              <w:rPr>
                <w:rFonts w:ascii="Times New Roman" w:hAnsi="Times New Roman"/>
              </w:rPr>
              <w:t>54</w:t>
            </w:r>
          </w:p>
        </w:tc>
      </w:tr>
    </w:tbl>
    <w:p w:rsidR="00E77B38" w:rsidRDefault="00E77B38" w:rsidP="0074752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E82" w:rsidRPr="00CB2E82" w:rsidRDefault="00CB2E82" w:rsidP="0074752B">
      <w:pPr>
        <w:pStyle w:val="a4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7B38" w:rsidRPr="007038B9" w:rsidRDefault="00E77B38" w:rsidP="007475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038B9">
        <w:rPr>
          <w:rFonts w:ascii="Times New Roman" w:hAnsi="Times New Roman"/>
          <w:sz w:val="28"/>
          <w:szCs w:val="28"/>
        </w:rPr>
        <w:t>Таблица 2</w:t>
      </w:r>
    </w:p>
    <w:p w:rsidR="00D0193B" w:rsidRPr="007038B9" w:rsidRDefault="00D0193B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038B9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5752E1" w:rsidRPr="00D0193B" w:rsidRDefault="005752E1" w:rsidP="0074752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5480"/>
        <w:gridCol w:w="1702"/>
        <w:gridCol w:w="1699"/>
        <w:gridCol w:w="993"/>
        <w:gridCol w:w="1005"/>
        <w:gridCol w:w="957"/>
        <w:gridCol w:w="951"/>
      </w:tblGrid>
      <w:tr w:rsidR="008C4AD6" w:rsidRPr="008C4AD6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60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84" w:type="pct"/>
            <w:gridSpan w:val="4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C4AD6" w:rsidRPr="008C4AD6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2" w:type="pct"/>
            <w:gridSpan w:val="3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CB2E82" w:rsidRPr="008C4AD6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год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финансовой поддержки социально ориентированным некоммерческим </w:t>
            </w:r>
            <w:r w:rsidR="009916F9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организациям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путем 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предоставления на</w:t>
            </w:r>
            <w:r w:rsidR="005752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конкурсной основе субсидий (показатели 1, 2)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3 350,00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3 350,0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</w:tr>
      <w:tr w:rsidR="0024002D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1 2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24002D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1 2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3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3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305AD2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</w:t>
            </w:r>
            <w:r w:rsidR="008C4AD6" w:rsidRPr="00305AD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773835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проектов в сфере деятельности по изучению общественного мнения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A0616C" w:rsidRDefault="003634A2" w:rsidP="00363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sz w:val="20"/>
                <w:szCs w:val="20"/>
              </w:rPr>
              <w:t>350</w:t>
            </w:r>
            <w:r w:rsidR="008C4AD6" w:rsidRPr="00A0616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A0616C" w:rsidRDefault="003634A2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sz w:val="20"/>
                <w:szCs w:val="20"/>
              </w:rPr>
              <w:t>150</w:t>
            </w:r>
            <w:r w:rsidR="008C4AD6" w:rsidRPr="00A0616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A0616C" w:rsidRDefault="003634A2" w:rsidP="00363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sz w:val="20"/>
                <w:szCs w:val="20"/>
              </w:rPr>
              <w:t>350</w:t>
            </w:r>
            <w:r w:rsidR="008C4AD6" w:rsidRPr="00A0616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A0616C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sz w:val="20"/>
                <w:szCs w:val="20"/>
              </w:rPr>
              <w:t>150</w:t>
            </w:r>
            <w:r w:rsidR="008C4AD6" w:rsidRPr="00A0616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305AD2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AD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570CE" w:rsidRPr="0024002D" w:rsidTr="00CB2E82">
        <w:trPr>
          <w:trHeight w:val="20"/>
        </w:trPr>
        <w:tc>
          <w:tcPr>
            <w:tcW w:w="469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1942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финансовое обеспечение проектов в области содействия добровольчества и благотворительности</w:t>
            </w:r>
          </w:p>
        </w:tc>
        <w:tc>
          <w:tcPr>
            <w:tcW w:w="603" w:type="pct"/>
            <w:vMerge w:val="restart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</w:tcPr>
          <w:p w:rsidR="008570CE" w:rsidRPr="00A0616C" w:rsidRDefault="003634A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570CE"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8570CE" w:rsidRPr="00A0616C" w:rsidRDefault="003634A2" w:rsidP="003634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  <w:r w:rsidR="008570CE"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39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570CE" w:rsidRPr="0024002D" w:rsidTr="00CB2E82">
        <w:trPr>
          <w:trHeight w:val="20"/>
        </w:trPr>
        <w:tc>
          <w:tcPr>
            <w:tcW w:w="469" w:type="pct"/>
            <w:vMerge/>
          </w:tcPr>
          <w:p w:rsidR="008570CE" w:rsidRPr="008C4AD6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</w:tcPr>
          <w:p w:rsidR="008570CE" w:rsidRPr="008C4AD6" w:rsidRDefault="008570CE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352" w:type="pct"/>
            <w:shd w:val="clear" w:color="auto" w:fill="auto"/>
          </w:tcPr>
          <w:p w:rsidR="008570CE" w:rsidRPr="00A0616C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570CE"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</w:tcPr>
          <w:p w:rsidR="008570CE" w:rsidRPr="00A0616C" w:rsidRDefault="00211AA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8570CE" w:rsidRPr="00A0616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</w:tcPr>
          <w:p w:rsidR="008570CE" w:rsidRPr="0024002D" w:rsidRDefault="008570CE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3)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42" w:type="pct"/>
            <w:vMerge w:val="restart"/>
            <w:shd w:val="clear" w:color="auto" w:fill="auto"/>
            <w:hideMark/>
          </w:tcPr>
          <w:p w:rsidR="009916F9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</w:t>
            </w:r>
          </w:p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социально ориентированным некоммерческим организациям Ханты-Мансийского района в участии в мероприятиях регионального уровня, 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469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B2E82" w:rsidRPr="0024002D" w:rsidTr="00CB2E82">
        <w:trPr>
          <w:trHeight w:val="20"/>
        </w:trPr>
        <w:tc>
          <w:tcPr>
            <w:tcW w:w="2411" w:type="pct"/>
            <w:gridSpan w:val="2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537AE5">
              <w:rPr>
                <w:rFonts w:ascii="Times New Roman" w:hAnsi="Times New Roman"/>
                <w:color w:val="000000"/>
                <w:sz w:val="20"/>
                <w:szCs w:val="20"/>
              </w:rPr>
              <w:t>сего по муниципальной программе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3 350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</w:tr>
      <w:tr w:rsidR="00CB2E82" w:rsidRPr="0024002D" w:rsidTr="00CB2E82">
        <w:trPr>
          <w:trHeight w:val="20"/>
        </w:trPr>
        <w:tc>
          <w:tcPr>
            <w:tcW w:w="2411" w:type="pct"/>
            <w:gridSpan w:val="2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3" w:type="pct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24002D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24002D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t>1 100,00</w:t>
            </w:r>
          </w:p>
        </w:tc>
      </w:tr>
      <w:tr w:rsidR="008C4AD6" w:rsidRPr="0024002D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24002D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0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3F47BA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CB2E82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891EEA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:rsidR="008C4AD6" w:rsidRPr="008C4AD6" w:rsidRDefault="005752E1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6C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том числе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 w:val="restar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исполнитель: МКУ ХМР «Комитет по </w:t>
            </w:r>
            <w:proofErr w:type="spellStart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КСиСП</w:t>
            </w:r>
            <w:proofErr w:type="spellEnd"/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CB2E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F313D9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4AD6" w:rsidRPr="008C4AD6" w:rsidTr="00CB2E82">
        <w:trPr>
          <w:trHeight w:val="20"/>
        </w:trPr>
        <w:tc>
          <w:tcPr>
            <w:tcW w:w="3014" w:type="pct"/>
            <w:gridSpan w:val="3"/>
            <w:vMerge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– 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8C4AD6" w:rsidRPr="008C4AD6" w:rsidRDefault="00CB2E82" w:rsidP="00F313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C4A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F313D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6" w:type="pct"/>
            <w:shd w:val="clear" w:color="auto" w:fill="auto"/>
            <w:hideMark/>
          </w:tcPr>
          <w:p w:rsidR="008C4AD6" w:rsidRPr="008C4AD6" w:rsidRDefault="00F313D9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</w:t>
            </w:r>
            <w:r w:rsidR="008C4AD6"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37" w:type="pct"/>
            <w:shd w:val="clear" w:color="auto" w:fill="auto"/>
            <w:hideMark/>
          </w:tcPr>
          <w:p w:rsidR="008C4AD6" w:rsidRPr="008C4AD6" w:rsidRDefault="008C4AD6" w:rsidP="005752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C4AD6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E77B38" w:rsidRDefault="00E77B38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>2.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bCs/>
          <w:sz w:val="28"/>
          <w:szCs w:val="28"/>
        </w:rPr>
        <w:t>3.</w:t>
      </w:r>
      <w:r w:rsidRPr="008D33A5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8D3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33A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Ханты-Мансийского района по социальным вопросам.</w:t>
      </w:r>
    </w:p>
    <w:p w:rsidR="008D33A5" w:rsidRPr="008D33A5" w:rsidRDefault="008D33A5" w:rsidP="008D33A5">
      <w:pPr>
        <w:tabs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33A5">
        <w:rPr>
          <w:rFonts w:ascii="Times New Roman" w:hAnsi="Times New Roman"/>
          <w:sz w:val="28"/>
          <w:szCs w:val="28"/>
        </w:rPr>
        <w:t xml:space="preserve">Глава Ханты-Мансийского района 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  <w:t xml:space="preserve">  </w:t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</w:r>
      <w:r w:rsidRPr="008D33A5">
        <w:rPr>
          <w:rFonts w:ascii="Times New Roman" w:hAnsi="Times New Roman"/>
          <w:sz w:val="28"/>
          <w:szCs w:val="28"/>
        </w:rPr>
        <w:tab/>
        <w:t xml:space="preserve">  К.Р. Минулин</w:t>
      </w:r>
    </w:p>
    <w:p w:rsidR="008D33A5" w:rsidRPr="008D33A5" w:rsidRDefault="008D33A5" w:rsidP="008D33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3A5" w:rsidRDefault="008D33A5" w:rsidP="0074752B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8D33A5" w:rsidSect="0074752B">
      <w:headerReference w:type="default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F2" w:rsidRDefault="007305F2" w:rsidP="00353F26">
      <w:pPr>
        <w:spacing w:after="0" w:line="240" w:lineRule="auto"/>
      </w:pPr>
      <w:r>
        <w:separator/>
      </w:r>
    </w:p>
  </w:endnote>
  <w:end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F2" w:rsidRDefault="007305F2" w:rsidP="00353F26">
      <w:pPr>
        <w:spacing w:after="0" w:line="240" w:lineRule="auto"/>
      </w:pPr>
      <w:r>
        <w:separator/>
      </w:r>
    </w:p>
  </w:footnote>
  <w:footnote w:type="continuationSeparator" w:id="0">
    <w:p w:rsidR="007305F2" w:rsidRDefault="007305F2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526344"/>
      <w:docPartObj>
        <w:docPartGallery w:val="Page Numbers (Top of Page)"/>
        <w:docPartUnique/>
      </w:docPartObj>
    </w:sdtPr>
    <w:sdtEndPr/>
    <w:sdtContent>
      <w:p w:rsidR="003049CB" w:rsidRDefault="00304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E05">
          <w:rPr>
            <w:noProof/>
          </w:rPr>
          <w:t>11</w:t>
        </w:r>
        <w:r>
          <w:fldChar w:fldCharType="end"/>
        </w:r>
      </w:p>
    </w:sdtContent>
  </w:sdt>
  <w:p w:rsidR="003049CB" w:rsidRDefault="003049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80516"/>
      <w:docPartObj>
        <w:docPartGallery w:val="Page Numbers (Top of Page)"/>
        <w:docPartUnique/>
      </w:docPartObj>
    </w:sdtPr>
    <w:sdtEndPr/>
    <w:sdtContent>
      <w:p w:rsidR="0074752B" w:rsidRDefault="00211AA6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</w:t>
        </w:r>
        <w:r>
          <w:rPr>
            <w:sz w:val="28"/>
            <w:szCs w:val="28"/>
          </w:rPr>
          <w:t>ПРОЕКТ</w:t>
        </w:r>
      </w:p>
    </w:sdtContent>
  </w:sdt>
  <w:p w:rsidR="003049CB" w:rsidRPr="00290EEF" w:rsidRDefault="003049CB" w:rsidP="00290EEF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EndPr/>
    <w:sdtContent>
      <w:p w:rsidR="003049CB" w:rsidRDefault="003049CB" w:rsidP="00FC69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8E3E05">
          <w:rPr>
            <w:rFonts w:ascii="Times New Roman" w:hAnsi="Times New Roman"/>
            <w:noProof/>
            <w:sz w:val="24"/>
            <w:szCs w:val="24"/>
          </w:rPr>
          <w:t>12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3049CB" w:rsidRDefault="008E3E05" w:rsidP="00FC69CE">
        <w:pPr>
          <w:pStyle w:val="a6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CB" w:rsidRPr="00D0193B" w:rsidRDefault="003049CB" w:rsidP="00D01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1BB"/>
    <w:multiLevelType w:val="hybridMultilevel"/>
    <w:tmpl w:val="B610F4FE"/>
    <w:lvl w:ilvl="0" w:tplc="83C6A6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0A600B"/>
    <w:multiLevelType w:val="hybridMultilevel"/>
    <w:tmpl w:val="BC628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49668C"/>
    <w:multiLevelType w:val="hybridMultilevel"/>
    <w:tmpl w:val="B2224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74D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1EC7"/>
    <w:multiLevelType w:val="hybridMultilevel"/>
    <w:tmpl w:val="1C8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D4915"/>
    <w:multiLevelType w:val="hybridMultilevel"/>
    <w:tmpl w:val="873CAA94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0A63CF7"/>
    <w:multiLevelType w:val="hybridMultilevel"/>
    <w:tmpl w:val="375C5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7B6F28"/>
    <w:multiLevelType w:val="hybridMultilevel"/>
    <w:tmpl w:val="65D28458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29D0"/>
    <w:multiLevelType w:val="hybridMultilevel"/>
    <w:tmpl w:val="BAC834AA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214B5E"/>
    <w:multiLevelType w:val="hybridMultilevel"/>
    <w:tmpl w:val="3CE44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0"/>
  </w:num>
  <w:num w:numId="5">
    <w:abstractNumId w:val="26"/>
  </w:num>
  <w:num w:numId="6">
    <w:abstractNumId w:val="21"/>
  </w:num>
  <w:num w:numId="7">
    <w:abstractNumId w:val="25"/>
  </w:num>
  <w:num w:numId="8">
    <w:abstractNumId w:val="13"/>
  </w:num>
  <w:num w:numId="9">
    <w:abstractNumId w:val="5"/>
  </w:num>
  <w:num w:numId="10">
    <w:abstractNumId w:val="0"/>
  </w:num>
  <w:num w:numId="11">
    <w:abstractNumId w:val="22"/>
  </w:num>
  <w:num w:numId="12">
    <w:abstractNumId w:val="16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18"/>
  </w:num>
  <w:num w:numId="18">
    <w:abstractNumId w:val="19"/>
  </w:num>
  <w:num w:numId="19">
    <w:abstractNumId w:val="4"/>
  </w:num>
  <w:num w:numId="20">
    <w:abstractNumId w:val="15"/>
  </w:num>
  <w:num w:numId="21">
    <w:abstractNumId w:val="12"/>
  </w:num>
  <w:num w:numId="22">
    <w:abstractNumId w:val="2"/>
  </w:num>
  <w:num w:numId="23">
    <w:abstractNumId w:val="3"/>
  </w:num>
  <w:num w:numId="24">
    <w:abstractNumId w:val="24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52CE"/>
    <w:rsid w:val="00006AAB"/>
    <w:rsid w:val="00012216"/>
    <w:rsid w:val="00012F23"/>
    <w:rsid w:val="00020CC8"/>
    <w:rsid w:val="00023943"/>
    <w:rsid w:val="00032083"/>
    <w:rsid w:val="00032F60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E622B"/>
    <w:rsid w:val="000F1A38"/>
    <w:rsid w:val="000F77E6"/>
    <w:rsid w:val="00102605"/>
    <w:rsid w:val="0010442C"/>
    <w:rsid w:val="00106BD7"/>
    <w:rsid w:val="00106C14"/>
    <w:rsid w:val="00110ED7"/>
    <w:rsid w:val="00116BB2"/>
    <w:rsid w:val="0011773E"/>
    <w:rsid w:val="001234D2"/>
    <w:rsid w:val="0012358C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1FC8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D5F21"/>
    <w:rsid w:val="001E036D"/>
    <w:rsid w:val="001E3A02"/>
    <w:rsid w:val="001E6A95"/>
    <w:rsid w:val="00201D75"/>
    <w:rsid w:val="00211AA6"/>
    <w:rsid w:val="0021564C"/>
    <w:rsid w:val="00216831"/>
    <w:rsid w:val="00225646"/>
    <w:rsid w:val="002268CE"/>
    <w:rsid w:val="0023221E"/>
    <w:rsid w:val="0023360D"/>
    <w:rsid w:val="0024002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0EEF"/>
    <w:rsid w:val="002911A9"/>
    <w:rsid w:val="00292A1A"/>
    <w:rsid w:val="00293633"/>
    <w:rsid w:val="00297C17"/>
    <w:rsid w:val="002A06E1"/>
    <w:rsid w:val="002A5175"/>
    <w:rsid w:val="002A5E0F"/>
    <w:rsid w:val="002B042B"/>
    <w:rsid w:val="002B2FEC"/>
    <w:rsid w:val="002B77DD"/>
    <w:rsid w:val="002C0F89"/>
    <w:rsid w:val="002C49E3"/>
    <w:rsid w:val="002D60E4"/>
    <w:rsid w:val="002E728A"/>
    <w:rsid w:val="003049B5"/>
    <w:rsid w:val="003049CB"/>
    <w:rsid w:val="00305AD2"/>
    <w:rsid w:val="003065F7"/>
    <w:rsid w:val="00307690"/>
    <w:rsid w:val="003205FB"/>
    <w:rsid w:val="00320E9D"/>
    <w:rsid w:val="00342383"/>
    <w:rsid w:val="00343580"/>
    <w:rsid w:val="0035055F"/>
    <w:rsid w:val="00353F26"/>
    <w:rsid w:val="0035486F"/>
    <w:rsid w:val="00362F7D"/>
    <w:rsid w:val="003634A2"/>
    <w:rsid w:val="00363CBA"/>
    <w:rsid w:val="00374356"/>
    <w:rsid w:val="003758F2"/>
    <w:rsid w:val="003818D5"/>
    <w:rsid w:val="00382997"/>
    <w:rsid w:val="003856D0"/>
    <w:rsid w:val="00390021"/>
    <w:rsid w:val="00394D10"/>
    <w:rsid w:val="003A1CF3"/>
    <w:rsid w:val="003A2CA8"/>
    <w:rsid w:val="003A46D7"/>
    <w:rsid w:val="003A51A4"/>
    <w:rsid w:val="003A536C"/>
    <w:rsid w:val="003C4144"/>
    <w:rsid w:val="003C532B"/>
    <w:rsid w:val="003C6DB0"/>
    <w:rsid w:val="003D248F"/>
    <w:rsid w:val="003D4D1C"/>
    <w:rsid w:val="003D7B48"/>
    <w:rsid w:val="003E7D3D"/>
    <w:rsid w:val="003F2D4F"/>
    <w:rsid w:val="003F47BA"/>
    <w:rsid w:val="003F6322"/>
    <w:rsid w:val="003F7914"/>
    <w:rsid w:val="00400A94"/>
    <w:rsid w:val="004026F8"/>
    <w:rsid w:val="00405FE4"/>
    <w:rsid w:val="004065C3"/>
    <w:rsid w:val="00406E16"/>
    <w:rsid w:val="004130BD"/>
    <w:rsid w:val="004151E1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2B78"/>
    <w:rsid w:val="0047474A"/>
    <w:rsid w:val="00477843"/>
    <w:rsid w:val="00481D9E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F0B19"/>
    <w:rsid w:val="004F19E0"/>
    <w:rsid w:val="004F20E0"/>
    <w:rsid w:val="004F3855"/>
    <w:rsid w:val="004F5C24"/>
    <w:rsid w:val="005058A9"/>
    <w:rsid w:val="00506A46"/>
    <w:rsid w:val="00507943"/>
    <w:rsid w:val="0051234B"/>
    <w:rsid w:val="00513557"/>
    <w:rsid w:val="00520DA6"/>
    <w:rsid w:val="005224E9"/>
    <w:rsid w:val="00522952"/>
    <w:rsid w:val="00522969"/>
    <w:rsid w:val="0052569D"/>
    <w:rsid w:val="005306EF"/>
    <w:rsid w:val="00531F0F"/>
    <w:rsid w:val="00537AE5"/>
    <w:rsid w:val="00544B09"/>
    <w:rsid w:val="00557696"/>
    <w:rsid w:val="005609E2"/>
    <w:rsid w:val="00561827"/>
    <w:rsid w:val="005619D9"/>
    <w:rsid w:val="00561E16"/>
    <w:rsid w:val="00565FB6"/>
    <w:rsid w:val="005668A5"/>
    <w:rsid w:val="005675C5"/>
    <w:rsid w:val="005719DD"/>
    <w:rsid w:val="00571F82"/>
    <w:rsid w:val="005723F2"/>
    <w:rsid w:val="005726D2"/>
    <w:rsid w:val="00572E54"/>
    <w:rsid w:val="00573521"/>
    <w:rsid w:val="00573E4D"/>
    <w:rsid w:val="005752E1"/>
    <w:rsid w:val="00575705"/>
    <w:rsid w:val="005841C1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B0FB3"/>
    <w:rsid w:val="005B43D6"/>
    <w:rsid w:val="005D0DC7"/>
    <w:rsid w:val="005D14DA"/>
    <w:rsid w:val="005D46AF"/>
    <w:rsid w:val="005D6F42"/>
    <w:rsid w:val="005E0D0D"/>
    <w:rsid w:val="005E0F86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77AEA"/>
    <w:rsid w:val="00681493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D7944"/>
    <w:rsid w:val="006E18BC"/>
    <w:rsid w:val="006E2B48"/>
    <w:rsid w:val="006F6D8D"/>
    <w:rsid w:val="0070180A"/>
    <w:rsid w:val="00701B61"/>
    <w:rsid w:val="00702F31"/>
    <w:rsid w:val="007038B9"/>
    <w:rsid w:val="00724171"/>
    <w:rsid w:val="00727166"/>
    <w:rsid w:val="007305F2"/>
    <w:rsid w:val="0073094E"/>
    <w:rsid w:val="00737642"/>
    <w:rsid w:val="00741825"/>
    <w:rsid w:val="00742F73"/>
    <w:rsid w:val="00743CC8"/>
    <w:rsid w:val="0074752B"/>
    <w:rsid w:val="00754657"/>
    <w:rsid w:val="00773835"/>
    <w:rsid w:val="00775057"/>
    <w:rsid w:val="007771F5"/>
    <w:rsid w:val="00780943"/>
    <w:rsid w:val="00783F19"/>
    <w:rsid w:val="0079135E"/>
    <w:rsid w:val="00793CBC"/>
    <w:rsid w:val="007949CA"/>
    <w:rsid w:val="00797077"/>
    <w:rsid w:val="007A05D3"/>
    <w:rsid w:val="007B23D7"/>
    <w:rsid w:val="007B3E48"/>
    <w:rsid w:val="007B4401"/>
    <w:rsid w:val="007B6057"/>
    <w:rsid w:val="007C0D27"/>
    <w:rsid w:val="007C6BFC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570E"/>
    <w:rsid w:val="008263D7"/>
    <w:rsid w:val="00830C91"/>
    <w:rsid w:val="00831525"/>
    <w:rsid w:val="0083164F"/>
    <w:rsid w:val="00834747"/>
    <w:rsid w:val="00836B2D"/>
    <w:rsid w:val="00836B35"/>
    <w:rsid w:val="00837F41"/>
    <w:rsid w:val="00840154"/>
    <w:rsid w:val="008463CC"/>
    <w:rsid w:val="008506D9"/>
    <w:rsid w:val="00853EAD"/>
    <w:rsid w:val="00854C23"/>
    <w:rsid w:val="00855CC8"/>
    <w:rsid w:val="008570CE"/>
    <w:rsid w:val="00863DA2"/>
    <w:rsid w:val="00865188"/>
    <w:rsid w:val="00867B5C"/>
    <w:rsid w:val="008711BA"/>
    <w:rsid w:val="00874E4C"/>
    <w:rsid w:val="008759E4"/>
    <w:rsid w:val="00883C15"/>
    <w:rsid w:val="00891EEA"/>
    <w:rsid w:val="00897FA4"/>
    <w:rsid w:val="008A4137"/>
    <w:rsid w:val="008A4C3E"/>
    <w:rsid w:val="008A6D0A"/>
    <w:rsid w:val="008B1FE1"/>
    <w:rsid w:val="008C4AD6"/>
    <w:rsid w:val="008C619E"/>
    <w:rsid w:val="008D33A5"/>
    <w:rsid w:val="008D7C63"/>
    <w:rsid w:val="008D7F2A"/>
    <w:rsid w:val="008E3E05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58D1"/>
    <w:rsid w:val="00976CCA"/>
    <w:rsid w:val="00981406"/>
    <w:rsid w:val="009836F8"/>
    <w:rsid w:val="009868C5"/>
    <w:rsid w:val="00990B1C"/>
    <w:rsid w:val="0099154F"/>
    <w:rsid w:val="009916F9"/>
    <w:rsid w:val="00991E7C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03B8A"/>
    <w:rsid w:val="00A0616C"/>
    <w:rsid w:val="00A10CF2"/>
    <w:rsid w:val="00A11781"/>
    <w:rsid w:val="00A16685"/>
    <w:rsid w:val="00A21467"/>
    <w:rsid w:val="00A21679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3785"/>
    <w:rsid w:val="00A66160"/>
    <w:rsid w:val="00A67D30"/>
    <w:rsid w:val="00A70D49"/>
    <w:rsid w:val="00A73876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C09BE"/>
    <w:rsid w:val="00AC1773"/>
    <w:rsid w:val="00AC226E"/>
    <w:rsid w:val="00AD146B"/>
    <w:rsid w:val="00AD41DA"/>
    <w:rsid w:val="00AF0A0E"/>
    <w:rsid w:val="00AF7199"/>
    <w:rsid w:val="00B03BE5"/>
    <w:rsid w:val="00B27250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850B7"/>
    <w:rsid w:val="00B901C8"/>
    <w:rsid w:val="00BA2CC3"/>
    <w:rsid w:val="00BA6733"/>
    <w:rsid w:val="00BA7950"/>
    <w:rsid w:val="00BA796F"/>
    <w:rsid w:val="00BB03E6"/>
    <w:rsid w:val="00BB3E4A"/>
    <w:rsid w:val="00BC115D"/>
    <w:rsid w:val="00BC53F5"/>
    <w:rsid w:val="00BC6565"/>
    <w:rsid w:val="00BC6FD2"/>
    <w:rsid w:val="00BC7EB9"/>
    <w:rsid w:val="00BE3154"/>
    <w:rsid w:val="00BE72CE"/>
    <w:rsid w:val="00BF48F5"/>
    <w:rsid w:val="00BF63D5"/>
    <w:rsid w:val="00C00DB1"/>
    <w:rsid w:val="00C01D5F"/>
    <w:rsid w:val="00C069F0"/>
    <w:rsid w:val="00C13267"/>
    <w:rsid w:val="00C2254D"/>
    <w:rsid w:val="00C248C3"/>
    <w:rsid w:val="00C3302D"/>
    <w:rsid w:val="00C33E17"/>
    <w:rsid w:val="00C34364"/>
    <w:rsid w:val="00C36824"/>
    <w:rsid w:val="00C406D1"/>
    <w:rsid w:val="00C40A02"/>
    <w:rsid w:val="00C642DA"/>
    <w:rsid w:val="00C64E45"/>
    <w:rsid w:val="00C664B3"/>
    <w:rsid w:val="00C706A5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A7130"/>
    <w:rsid w:val="00CB02DD"/>
    <w:rsid w:val="00CB1F7D"/>
    <w:rsid w:val="00CB2E82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283"/>
    <w:rsid w:val="00CE6E48"/>
    <w:rsid w:val="00CF0577"/>
    <w:rsid w:val="00CF3617"/>
    <w:rsid w:val="00CF460B"/>
    <w:rsid w:val="00D001C7"/>
    <w:rsid w:val="00D0193B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6AB6"/>
    <w:rsid w:val="00D27698"/>
    <w:rsid w:val="00D318F1"/>
    <w:rsid w:val="00D33F16"/>
    <w:rsid w:val="00D3551B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244A"/>
    <w:rsid w:val="00D83CCF"/>
    <w:rsid w:val="00D83D66"/>
    <w:rsid w:val="00D84093"/>
    <w:rsid w:val="00D84868"/>
    <w:rsid w:val="00D91A51"/>
    <w:rsid w:val="00D930EA"/>
    <w:rsid w:val="00D94402"/>
    <w:rsid w:val="00D95D0F"/>
    <w:rsid w:val="00DA135C"/>
    <w:rsid w:val="00DA51B9"/>
    <w:rsid w:val="00DB09AB"/>
    <w:rsid w:val="00DB2AD2"/>
    <w:rsid w:val="00DB2D55"/>
    <w:rsid w:val="00DC01C0"/>
    <w:rsid w:val="00DC1FF0"/>
    <w:rsid w:val="00DC40C6"/>
    <w:rsid w:val="00DC6192"/>
    <w:rsid w:val="00DD7E77"/>
    <w:rsid w:val="00DE0D78"/>
    <w:rsid w:val="00DE11CA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5727"/>
    <w:rsid w:val="00E277BE"/>
    <w:rsid w:val="00E3021B"/>
    <w:rsid w:val="00E30CB3"/>
    <w:rsid w:val="00E3387A"/>
    <w:rsid w:val="00E411C5"/>
    <w:rsid w:val="00E42E69"/>
    <w:rsid w:val="00E507F6"/>
    <w:rsid w:val="00E53444"/>
    <w:rsid w:val="00E5378C"/>
    <w:rsid w:val="00E56C0B"/>
    <w:rsid w:val="00E638AE"/>
    <w:rsid w:val="00E672AE"/>
    <w:rsid w:val="00E74B77"/>
    <w:rsid w:val="00E77B38"/>
    <w:rsid w:val="00E81B0A"/>
    <w:rsid w:val="00E82515"/>
    <w:rsid w:val="00E84B25"/>
    <w:rsid w:val="00E95A1B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4DB4"/>
    <w:rsid w:val="00EE78D0"/>
    <w:rsid w:val="00EF0415"/>
    <w:rsid w:val="00EF08EF"/>
    <w:rsid w:val="00EF1382"/>
    <w:rsid w:val="00EF2A23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313D9"/>
    <w:rsid w:val="00F36852"/>
    <w:rsid w:val="00F41517"/>
    <w:rsid w:val="00F452ED"/>
    <w:rsid w:val="00F45C93"/>
    <w:rsid w:val="00F47CB6"/>
    <w:rsid w:val="00F51EC3"/>
    <w:rsid w:val="00F548D9"/>
    <w:rsid w:val="00F54CE5"/>
    <w:rsid w:val="00F65134"/>
    <w:rsid w:val="00F7221C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9CE"/>
    <w:rsid w:val="00FC6DF7"/>
    <w:rsid w:val="00FC6FA1"/>
    <w:rsid w:val="00FC74E2"/>
    <w:rsid w:val="00FD52AD"/>
    <w:rsid w:val="00FD6AAC"/>
    <w:rsid w:val="00FE0497"/>
    <w:rsid w:val="00FE51FC"/>
    <w:rsid w:val="00FF0756"/>
    <w:rsid w:val="00FF0C88"/>
    <w:rsid w:val="00FF2696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character" w:customStyle="1" w:styleId="af2">
    <w:name w:val="Нет"/>
    <w:rsid w:val="00211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D019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93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f">
    <w:name w:val="Normal (Web)"/>
    <w:basedOn w:val="a"/>
    <w:uiPriority w:val="99"/>
    <w:unhideWhenUsed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0193B"/>
  </w:style>
  <w:style w:type="character" w:styleId="af0">
    <w:name w:val="Hyperlink"/>
    <w:uiPriority w:val="99"/>
    <w:semiHidden/>
    <w:unhideWhenUsed/>
    <w:rsid w:val="00D0193B"/>
    <w:rPr>
      <w:color w:val="0000FF"/>
      <w:u w:val="single"/>
    </w:rPr>
  </w:style>
  <w:style w:type="paragraph" w:customStyle="1" w:styleId="tekstob">
    <w:name w:val="tekstob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D01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01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19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FollowedHyperlink"/>
    <w:basedOn w:val="a0"/>
    <w:uiPriority w:val="99"/>
    <w:semiHidden/>
    <w:unhideWhenUsed/>
    <w:rsid w:val="00DE11CA"/>
    <w:rPr>
      <w:color w:val="800080"/>
      <w:u w:val="single"/>
    </w:rPr>
  </w:style>
  <w:style w:type="paragraph" w:customStyle="1" w:styleId="xl63">
    <w:name w:val="xl63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DE11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DE11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DE11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DE11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DE11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DE11C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E11C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DE11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DE11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E1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E1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E1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E11CA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E11C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DE11C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character" w:customStyle="1" w:styleId="af2">
    <w:name w:val="Нет"/>
    <w:rsid w:val="0021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D26B-01B3-4347-8C6B-B445E4F6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Рудольф А. Финк</cp:lastModifiedBy>
  <cp:revision>5</cp:revision>
  <cp:lastPrinted>2018-08-27T04:25:00Z</cp:lastPrinted>
  <dcterms:created xsi:type="dcterms:W3CDTF">2018-08-23T10:31:00Z</dcterms:created>
  <dcterms:modified xsi:type="dcterms:W3CDTF">2018-08-27T04:26:00Z</dcterms:modified>
</cp:coreProperties>
</file>